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28358" w14:textId="77BBA290" w:rsidR="0074787B" w:rsidRDefault="0074787B" w:rsidP="00F93B1A">
      <w:pPr>
        <w:jc w:val="both"/>
      </w:pPr>
      <w:r>
        <w:t>Methods and protocols</w:t>
      </w:r>
      <w:r w:rsidR="00451D34">
        <w:t xml:space="preserve"> for </w:t>
      </w:r>
      <w:r w:rsidR="00F93B1A">
        <w:t xml:space="preserve">a </w:t>
      </w:r>
      <w:r w:rsidR="00451D34">
        <w:t xml:space="preserve">double extraction of </w:t>
      </w:r>
      <w:proofErr w:type="gramStart"/>
      <w:r w:rsidR="00451D34" w:rsidRPr="00451D34">
        <w:t>knock-out</w:t>
      </w:r>
      <w:proofErr w:type="gramEnd"/>
      <w:r w:rsidR="00451D34" w:rsidRPr="00451D34">
        <w:t xml:space="preserve"> PMM1 (-/-PMM1) in </w:t>
      </w:r>
      <w:r w:rsidR="00451D34" w:rsidRPr="00451D34">
        <w:rPr>
          <w:vertAlign w:val="superscript"/>
        </w:rPr>
        <w:t>Arg141His/Phe119Leu</w:t>
      </w:r>
      <w:r w:rsidR="00451D34" w:rsidRPr="00451D34">
        <w:t>PMM2 patien</w:t>
      </w:r>
      <w:r w:rsidR="00451D34">
        <w:t>t-derived fibroblasts (+/+PMM1)</w:t>
      </w:r>
      <w:r>
        <w:t>:</w:t>
      </w:r>
    </w:p>
    <w:p w14:paraId="46079967" w14:textId="48F97550" w:rsidR="004B7438" w:rsidRDefault="0074787B" w:rsidP="00F93B1A">
      <w:pPr>
        <w:jc w:val="both"/>
      </w:pPr>
      <w:r>
        <w:t xml:space="preserve">This </w:t>
      </w:r>
      <w:r w:rsidR="00F72A7B">
        <w:t xml:space="preserve">protocol </w:t>
      </w:r>
      <w:r>
        <w:t xml:space="preserve">refers to the </w:t>
      </w:r>
      <w:r w:rsidR="00E27428">
        <w:t xml:space="preserve">double polar and lipophilic </w:t>
      </w:r>
      <w:r>
        <w:t xml:space="preserve">metabolite extraction of </w:t>
      </w:r>
      <w:r w:rsidR="00C20213">
        <w:t>fibroblast</w:t>
      </w:r>
      <w:r w:rsidR="00E27428">
        <w:t xml:space="preserve"> </w:t>
      </w:r>
      <w:r w:rsidR="00C20213">
        <w:t>samples</w:t>
      </w:r>
      <w:r w:rsidR="00E27428">
        <w:t xml:space="preserve"> starting from </w:t>
      </w:r>
      <w:r w:rsidR="004B7438">
        <w:t xml:space="preserve">a </w:t>
      </w:r>
      <w:r w:rsidR="00E27428">
        <w:t>cell</w:t>
      </w:r>
      <w:r w:rsidR="004B7438">
        <w:t xml:space="preserve"> pellet in an Eppendorf tube</w:t>
      </w:r>
      <w:r w:rsidR="00E27428">
        <w:t>.</w:t>
      </w:r>
    </w:p>
    <w:p w14:paraId="58EDAD35" w14:textId="311AA2E5" w:rsidR="0074787B" w:rsidRDefault="0074787B" w:rsidP="00F93B1A">
      <w:pPr>
        <w:jc w:val="both"/>
      </w:pPr>
    </w:p>
    <w:p w14:paraId="65E80075" w14:textId="0EC57A82" w:rsidR="0074787B" w:rsidRDefault="009F71DE" w:rsidP="00F93B1A">
      <w:pPr>
        <w:jc w:val="both"/>
      </w:pPr>
      <w:r w:rsidRPr="00297D49">
        <w:rPr>
          <w:b/>
        </w:rPr>
        <w:t xml:space="preserve">Sample </w:t>
      </w:r>
      <w:r w:rsidR="0074787B" w:rsidRPr="00297D49">
        <w:rPr>
          <w:b/>
        </w:rPr>
        <w:t>prep</w:t>
      </w:r>
      <w:r w:rsidRPr="00297D49">
        <w:rPr>
          <w:b/>
        </w:rPr>
        <w:t>aration</w:t>
      </w:r>
      <w:r w:rsidR="0074787B">
        <w:t>:</w:t>
      </w:r>
    </w:p>
    <w:p w14:paraId="777D7DCA" w14:textId="244FB94D" w:rsidR="0074787B" w:rsidRDefault="0074787B" w:rsidP="00F93B1A">
      <w:pPr>
        <w:jc w:val="both"/>
      </w:pPr>
    </w:p>
    <w:p w14:paraId="21848FD3" w14:textId="379CFE99" w:rsidR="0074787B" w:rsidRDefault="00C20213" w:rsidP="00F93B1A">
      <w:pPr>
        <w:pStyle w:val="Paragrafoelenco"/>
        <w:numPr>
          <w:ilvl w:val="0"/>
          <w:numId w:val="1"/>
        </w:numPr>
        <w:jc w:val="both"/>
      </w:pPr>
      <w:r>
        <w:t>PMM2 fibroblasts</w:t>
      </w:r>
      <w:r w:rsidR="0074787B">
        <w:t xml:space="preserve"> received at the lab frozen in dry ice.</w:t>
      </w:r>
    </w:p>
    <w:p w14:paraId="054F1F96" w14:textId="6367502C" w:rsidR="0074787B" w:rsidRDefault="00C20213" w:rsidP="00F93B1A">
      <w:pPr>
        <w:pStyle w:val="Paragrafoelenco"/>
        <w:numPr>
          <w:ilvl w:val="0"/>
          <w:numId w:val="1"/>
        </w:numPr>
        <w:jc w:val="both"/>
      </w:pPr>
      <w:r>
        <w:t xml:space="preserve">Cells were immortalized as described in </w:t>
      </w:r>
      <w:r w:rsidR="00F93B1A">
        <w:t>[</w:t>
      </w:r>
      <w:proofErr w:type="spellStart"/>
      <w:r w:rsidR="00F93B1A">
        <w:t>Monticelli</w:t>
      </w:r>
      <w:proofErr w:type="spellEnd"/>
      <w:r w:rsidR="00F93B1A">
        <w:t xml:space="preserve"> </w:t>
      </w:r>
      <w:r w:rsidR="00F93B1A" w:rsidRPr="009478FE">
        <w:rPr>
          <w:i/>
        </w:rPr>
        <w:t>et al</w:t>
      </w:r>
      <w:r w:rsidR="00F93B1A">
        <w:t>.</w:t>
      </w:r>
      <w:proofErr w:type="gramStart"/>
      <w:r w:rsidR="00F93B1A">
        <w:t>,2022</w:t>
      </w:r>
      <w:proofErr w:type="gramEnd"/>
      <w:r w:rsidR="00F93B1A">
        <w:t xml:space="preserve">] </w:t>
      </w:r>
      <w:r>
        <w:t xml:space="preserve">and grown in RPMI medium </w:t>
      </w:r>
      <w:r w:rsidRPr="00C20213">
        <w:t>supplemented with 10% Fetal Bovine Serum, 2 </w:t>
      </w:r>
      <w:proofErr w:type="spellStart"/>
      <w:r w:rsidRPr="00C20213">
        <w:t>mM</w:t>
      </w:r>
      <w:proofErr w:type="spellEnd"/>
      <w:r w:rsidRPr="00C20213">
        <w:t xml:space="preserve"> glutamine, 0.5 mg/mL penicillin, 0.5 mg/mL streptomycin, and non-essential amino acids at 37 °C in 5% humidified CO2</w:t>
      </w:r>
      <w:r>
        <w:t>.</w:t>
      </w:r>
    </w:p>
    <w:p w14:paraId="580A5311" w14:textId="30C03DB3" w:rsidR="00C20213" w:rsidRDefault="00C20213" w:rsidP="00F93B1A">
      <w:pPr>
        <w:pStyle w:val="Paragrafoelenco"/>
        <w:numPr>
          <w:ilvl w:val="0"/>
          <w:numId w:val="1"/>
        </w:numPr>
        <w:jc w:val="both"/>
      </w:pPr>
      <w:r w:rsidRPr="00C20213">
        <w:t xml:space="preserve">-/-PMM1 was generated by the insertion of a </w:t>
      </w:r>
      <w:proofErr w:type="spellStart"/>
      <w:r w:rsidRPr="00C20213">
        <w:t>puromycin</w:t>
      </w:r>
      <w:proofErr w:type="spellEnd"/>
      <w:r w:rsidRPr="00C20213">
        <w:t xml:space="preserve"> resistance cassette into the first exon of PMM1, using the </w:t>
      </w:r>
      <w:proofErr w:type="spellStart"/>
      <w:r w:rsidRPr="00C20213">
        <w:t>Origene</w:t>
      </w:r>
      <w:proofErr w:type="spellEnd"/>
      <w:r w:rsidRPr="00C20213">
        <w:t xml:space="preserve"> kit KN202004.</w:t>
      </w:r>
    </w:p>
    <w:p w14:paraId="5A0BD0B2" w14:textId="17FE17C4" w:rsidR="0081235D" w:rsidRDefault="0081235D" w:rsidP="00F93B1A">
      <w:pPr>
        <w:pStyle w:val="Paragrafoelenco"/>
        <w:numPr>
          <w:ilvl w:val="0"/>
          <w:numId w:val="1"/>
        </w:numPr>
        <w:jc w:val="both"/>
      </w:pPr>
      <w:r w:rsidRPr="0081235D">
        <w:t xml:space="preserve">Following the manufacturer's instructions, </w:t>
      </w:r>
      <w:proofErr w:type="spellStart"/>
      <w:r w:rsidRPr="0081235D">
        <w:t>puromycin</w:t>
      </w:r>
      <w:proofErr w:type="spellEnd"/>
      <w:r w:rsidRPr="0081235D">
        <w:t xml:space="preserve"> -up to 0.3 ng/mL- </w:t>
      </w:r>
      <w:proofErr w:type="gramStart"/>
      <w:r w:rsidRPr="0081235D">
        <w:t>was used</w:t>
      </w:r>
      <w:proofErr w:type="gramEnd"/>
      <w:r w:rsidRPr="0081235D">
        <w:t xml:space="preserve"> for the selection, and resistant cells were </w:t>
      </w:r>
      <w:proofErr w:type="spellStart"/>
      <w:r w:rsidRPr="0081235D">
        <w:t>analysed</w:t>
      </w:r>
      <w:proofErr w:type="spellEnd"/>
      <w:r w:rsidRPr="0081235D">
        <w:t xml:space="preserve"> via PCR to verify the correct insertion.</w:t>
      </w:r>
      <w:r>
        <w:t xml:space="preserve"> Then p</w:t>
      </w:r>
      <w:r w:rsidRPr="0081235D">
        <w:t>ositive cells were grown</w:t>
      </w:r>
      <w:r>
        <w:t xml:space="preserve"> (-/-PMM1) in parallel with their controls </w:t>
      </w:r>
      <w:r>
        <w:t>(+/+PMM1</w:t>
      </w:r>
      <w:r>
        <w:t>).</w:t>
      </w:r>
    </w:p>
    <w:p w14:paraId="09E28968" w14:textId="0139E380" w:rsidR="009F71DE" w:rsidRDefault="009F71DE" w:rsidP="00F93B1A">
      <w:pPr>
        <w:pStyle w:val="Paragrafoelenco"/>
        <w:numPr>
          <w:ilvl w:val="0"/>
          <w:numId w:val="1"/>
        </w:numPr>
        <w:jc w:val="both"/>
      </w:pPr>
      <w:r w:rsidRPr="009F71DE">
        <w:t>Cells from confluent 150 cm</w:t>
      </w:r>
      <w:r w:rsidRPr="00F93B1A">
        <w:rPr>
          <w:vertAlign w:val="superscript"/>
        </w:rPr>
        <w:t>2</w:t>
      </w:r>
      <w:r w:rsidRPr="009F71DE">
        <w:t xml:space="preserve"> plates were washed with PBS and enzymatically detached using trypsin, then pelleted in PBS and washed again</w:t>
      </w:r>
      <w:r w:rsidR="00F93B1A">
        <w:t xml:space="preserve"> for 3 times</w:t>
      </w:r>
      <w:r w:rsidRPr="009F71DE">
        <w:t>.</w:t>
      </w:r>
    </w:p>
    <w:p w14:paraId="77CEED8F" w14:textId="07D3955A" w:rsidR="009F71DE" w:rsidRDefault="009F71DE" w:rsidP="009478FE">
      <w:pPr>
        <w:pStyle w:val="Paragrafoelenco"/>
        <w:numPr>
          <w:ilvl w:val="0"/>
          <w:numId w:val="1"/>
        </w:numPr>
        <w:jc w:val="both"/>
      </w:pPr>
      <w:r w:rsidRPr="009F71DE">
        <w:t xml:space="preserve">Metabolites extraction was performed using </w:t>
      </w:r>
      <w:proofErr w:type="spellStart"/>
      <w:r w:rsidRPr="009F71DE">
        <w:t>methanol</w:t>
      </w:r>
      <w:proofErr w:type="gramStart"/>
      <w:r w:rsidRPr="009F71DE">
        <w:t>:chloroform:water</w:t>
      </w:r>
      <w:proofErr w:type="spellEnd"/>
      <w:proofErr w:type="gramEnd"/>
      <w:r w:rsidRPr="009F71DE">
        <w:t xml:space="preserve"> 1:1:1 protocol, as suggested by [</w:t>
      </w:r>
      <w:proofErr w:type="spellStart"/>
      <w:r w:rsidR="009478FE" w:rsidRPr="009478FE">
        <w:t>Beckonert</w:t>
      </w:r>
      <w:proofErr w:type="spellEnd"/>
      <w:r w:rsidR="009478FE">
        <w:t xml:space="preserve"> </w:t>
      </w:r>
      <w:r w:rsidR="009478FE" w:rsidRPr="009478FE">
        <w:rPr>
          <w:i/>
        </w:rPr>
        <w:t>et al</w:t>
      </w:r>
      <w:r w:rsidR="009478FE">
        <w:t>., 2007</w:t>
      </w:r>
      <w:r w:rsidRPr="009F71DE">
        <w:t>].</w:t>
      </w:r>
    </w:p>
    <w:p w14:paraId="5C822136" w14:textId="6612F8D3" w:rsidR="001E0169" w:rsidRDefault="009F71DE" w:rsidP="00F93B1A">
      <w:pPr>
        <w:pStyle w:val="Paragrafoelenco"/>
        <w:numPr>
          <w:ilvl w:val="0"/>
          <w:numId w:val="1"/>
        </w:numPr>
        <w:jc w:val="both"/>
      </w:pPr>
      <w:r w:rsidRPr="009F71DE">
        <w:t xml:space="preserve">Polar and nonpolar fractions </w:t>
      </w:r>
      <w:proofErr w:type="gramStart"/>
      <w:r w:rsidRPr="009F71DE">
        <w:t>were transferred</w:t>
      </w:r>
      <w:proofErr w:type="gramEnd"/>
      <w:r w:rsidRPr="009F71DE">
        <w:t xml:space="preserve"> into glass vials and the solvents were removed under a nitrogen stream at room temperature and stored at</w:t>
      </w:r>
      <w:r>
        <w:t xml:space="preserve"> -80°C until they were </w:t>
      </w:r>
      <w:proofErr w:type="spellStart"/>
      <w:r>
        <w:t>analysed</w:t>
      </w:r>
      <w:proofErr w:type="spellEnd"/>
      <w:r w:rsidR="001E0169">
        <w:t>.</w:t>
      </w:r>
    </w:p>
    <w:p w14:paraId="11E2B075" w14:textId="74587854" w:rsidR="00F834C9" w:rsidRDefault="00F834C9" w:rsidP="00F93B1A">
      <w:pPr>
        <w:jc w:val="both"/>
      </w:pPr>
    </w:p>
    <w:p w14:paraId="29AB048C" w14:textId="65016345" w:rsidR="00F834C9" w:rsidRDefault="00F834C9" w:rsidP="00F93B1A">
      <w:pPr>
        <w:pStyle w:val="Paragrafoelenco"/>
        <w:ind w:left="0"/>
        <w:jc w:val="both"/>
      </w:pPr>
      <w:r w:rsidRPr="00297D49">
        <w:rPr>
          <w:b/>
        </w:rPr>
        <w:t>Sample transfer</w:t>
      </w:r>
      <w:r w:rsidR="00297D49" w:rsidRPr="00297D49">
        <w:rPr>
          <w:b/>
        </w:rPr>
        <w:t xml:space="preserve"> </w:t>
      </w:r>
      <w:r w:rsidR="00297D49" w:rsidRPr="00297D49">
        <w:rPr>
          <w:b/>
        </w:rPr>
        <w:t>to NMR tubes</w:t>
      </w:r>
      <w:r>
        <w:t>:</w:t>
      </w:r>
    </w:p>
    <w:p w14:paraId="014A31F3" w14:textId="77777777" w:rsidR="00297D49" w:rsidRDefault="00297D49" w:rsidP="00F93B1A">
      <w:pPr>
        <w:pStyle w:val="Paragrafoelenco"/>
        <w:ind w:left="0"/>
        <w:jc w:val="both"/>
      </w:pPr>
    </w:p>
    <w:p w14:paraId="2B2F704F" w14:textId="6F355036" w:rsidR="00297D49" w:rsidRDefault="009F71DE" w:rsidP="00F93B1A">
      <w:pPr>
        <w:pStyle w:val="Paragrafoelenco"/>
        <w:numPr>
          <w:ilvl w:val="0"/>
          <w:numId w:val="1"/>
        </w:numPr>
        <w:jc w:val="both"/>
      </w:pPr>
      <w:r w:rsidRPr="009F71DE">
        <w:t xml:space="preserve">For NMR analysis, </w:t>
      </w:r>
      <w:r w:rsidR="00E2199A">
        <w:t xml:space="preserve">only </w:t>
      </w:r>
      <w:r w:rsidRPr="009F71DE">
        <w:t xml:space="preserve">polar fractions were </w:t>
      </w:r>
      <w:proofErr w:type="spellStart"/>
      <w:r w:rsidRPr="009F71DE">
        <w:t>resuspended</w:t>
      </w:r>
      <w:proofErr w:type="spellEnd"/>
      <w:r w:rsidRPr="009F71DE">
        <w:t xml:space="preserve"> in </w:t>
      </w:r>
      <w:r w:rsidR="00297D49">
        <w:t xml:space="preserve">630 </w:t>
      </w:r>
      <w:proofErr w:type="spellStart"/>
      <w:r w:rsidR="00297D49">
        <w:t>uL</w:t>
      </w:r>
      <w:proofErr w:type="spellEnd"/>
      <w:r w:rsidR="00297D49">
        <w:t xml:space="preserve"> of </w:t>
      </w:r>
      <w:r w:rsidRPr="009F71DE">
        <w:t xml:space="preserve">phosphate buffer saline (PBS, pH 7.4), containing 10% 2H2O (to provide a field frequency lock) and 1 </w:t>
      </w:r>
      <w:proofErr w:type="spellStart"/>
      <w:r w:rsidRPr="009F71DE">
        <w:t>mM</w:t>
      </w:r>
      <w:proofErr w:type="spellEnd"/>
      <w:r w:rsidRPr="009F71DE">
        <w:t xml:space="preserve"> sodium 3-trimethylsylyl [2,2,3,3-2H4] propionate </w:t>
      </w:r>
      <w:r w:rsidR="00297D49">
        <w:t xml:space="preserve">(TSP) </w:t>
      </w:r>
      <w:r w:rsidRPr="009F71DE">
        <w:t xml:space="preserve">as a chemical shift reference for </w:t>
      </w:r>
      <w:r w:rsidRPr="00297D49">
        <w:rPr>
          <w:vertAlign w:val="superscript"/>
        </w:rPr>
        <w:t>1</w:t>
      </w:r>
      <w:r w:rsidR="00297D49">
        <w:t>H spectra</w:t>
      </w:r>
      <w:r w:rsidR="00F834C9">
        <w:t>.</w:t>
      </w:r>
      <w:r w:rsidR="00297D49">
        <w:t xml:space="preserve"> The final volume </w:t>
      </w:r>
      <w:r w:rsidR="00297D49">
        <w:t xml:space="preserve">of 700 </w:t>
      </w:r>
      <w:proofErr w:type="spellStart"/>
      <w:r w:rsidR="00297D49">
        <w:t>uL</w:t>
      </w:r>
      <w:proofErr w:type="spellEnd"/>
      <w:r w:rsidR="00297D49">
        <w:t xml:space="preserve"> </w:t>
      </w:r>
      <w:r w:rsidR="00297D49">
        <w:t xml:space="preserve">for </w:t>
      </w:r>
      <w:r w:rsidR="00297D49">
        <w:t xml:space="preserve">each sample </w:t>
      </w:r>
      <w:r w:rsidR="00E2199A">
        <w:t xml:space="preserve">was then </w:t>
      </w:r>
      <w:proofErr w:type="spellStart"/>
      <w:r w:rsidR="00297D49">
        <w:t>tranferred</w:t>
      </w:r>
      <w:proofErr w:type="spellEnd"/>
      <w:r w:rsidR="00297D49">
        <w:t xml:space="preserve"> in a </w:t>
      </w:r>
      <w:r w:rsidR="00297D49">
        <w:t xml:space="preserve">1.7mm </w:t>
      </w:r>
      <w:proofErr w:type="spellStart"/>
      <w:r w:rsidR="00297D49">
        <w:t>SampleJet</w:t>
      </w:r>
      <w:proofErr w:type="spellEnd"/>
      <w:r w:rsidR="00297D49">
        <w:t xml:space="preserve"> NMR tube</w:t>
      </w:r>
      <w:r w:rsidR="00297D49">
        <w:t>.</w:t>
      </w:r>
    </w:p>
    <w:p w14:paraId="42FF78A0" w14:textId="25E8E6AD" w:rsidR="00F834C9" w:rsidRDefault="00F834C9" w:rsidP="00F93B1A">
      <w:pPr>
        <w:jc w:val="both"/>
      </w:pPr>
    </w:p>
    <w:p w14:paraId="68CC7E71" w14:textId="2DF7CA7A" w:rsidR="005A6D43" w:rsidRDefault="005A6D43" w:rsidP="00F93B1A">
      <w:pPr>
        <w:ind w:left="720"/>
        <w:jc w:val="both"/>
      </w:pPr>
      <w:r>
        <w:t>NMR run:</w:t>
      </w:r>
    </w:p>
    <w:p w14:paraId="161F8762" w14:textId="75EC6B2A" w:rsidR="005A6D43" w:rsidRDefault="00B3373F" w:rsidP="00F93B1A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 w:rsidR="005A6D43">
        <w:t>Samplejet</w:t>
      </w:r>
      <w:proofErr w:type="spellEnd"/>
      <w:r w:rsidR="005A6D43">
        <w:t xml:space="preserve"> tube racks are put in the autosampler at 4</w:t>
      </w:r>
      <w:r w:rsidR="005A6D43" w:rsidRPr="005A6D43">
        <w:rPr>
          <w:vertAlign w:val="superscript"/>
        </w:rPr>
        <w:t>o</w:t>
      </w:r>
      <w:r w:rsidR="005A6D43">
        <w:t>C</w:t>
      </w:r>
    </w:p>
    <w:p w14:paraId="61CA74A5" w14:textId="476B718B" w:rsidR="005A6D43" w:rsidRDefault="005A6D43" w:rsidP="00F93B1A">
      <w:pPr>
        <w:pStyle w:val="Paragrafoelenco"/>
        <w:jc w:val="both"/>
      </w:pPr>
      <w:r>
        <w:t xml:space="preserve">NMR settings </w:t>
      </w:r>
      <w:proofErr w:type="spellStart"/>
      <w:r>
        <w:t>puls</w:t>
      </w:r>
      <w:r w:rsidR="00E2199A">
        <w:t>eprog</w:t>
      </w:r>
      <w:proofErr w:type="spellEnd"/>
      <w:r w:rsidR="00E2199A">
        <w:t xml:space="preserve"> and experiments 1D + 2D: </w:t>
      </w:r>
      <w:proofErr w:type="spellStart"/>
      <w:r w:rsidR="00E2199A" w:rsidRPr="00E2199A">
        <w:t>zgesgp</w:t>
      </w:r>
      <w:proofErr w:type="spellEnd"/>
      <w:r w:rsidR="00E2199A">
        <w:t>, TOCSY, HSQC.</w:t>
      </w:r>
    </w:p>
    <w:p w14:paraId="41248DC1" w14:textId="77777777" w:rsidR="00B3373F" w:rsidRDefault="00B3373F" w:rsidP="00F93B1A">
      <w:pPr>
        <w:pStyle w:val="Paragrafoelenco"/>
        <w:jc w:val="both"/>
      </w:pPr>
    </w:p>
    <w:p w14:paraId="1859717F" w14:textId="2C0285FB" w:rsidR="005A6D43" w:rsidRDefault="005A6D43" w:rsidP="00A425D5">
      <w:pPr>
        <w:pStyle w:val="Paragrafoelenco"/>
        <w:ind w:left="0"/>
        <w:jc w:val="both"/>
      </w:pPr>
    </w:p>
    <w:p w14:paraId="77DAC59F" w14:textId="10C9C365" w:rsidR="00F25BF9" w:rsidRPr="00A425D5" w:rsidRDefault="00A425D5" w:rsidP="00A425D5">
      <w:pPr>
        <w:pStyle w:val="Paragrafoelenco"/>
        <w:ind w:left="0"/>
        <w:jc w:val="both"/>
        <w:rPr>
          <w:b/>
        </w:rPr>
      </w:pPr>
      <w:r w:rsidRPr="00A425D5">
        <w:rPr>
          <w:b/>
        </w:rPr>
        <w:t>References:</w:t>
      </w:r>
    </w:p>
    <w:p w14:paraId="2759A2C1" w14:textId="1E38A942" w:rsidR="00A425D5" w:rsidRDefault="00A425D5" w:rsidP="00F93B1A">
      <w:pPr>
        <w:pStyle w:val="Paragrafoelenco"/>
        <w:jc w:val="both"/>
      </w:pPr>
    </w:p>
    <w:p w14:paraId="754085D1" w14:textId="615BCFB8" w:rsidR="00A425D5" w:rsidRDefault="00A425D5" w:rsidP="00A425D5">
      <w:pPr>
        <w:pStyle w:val="Bibliografia"/>
        <w:rPr>
          <w:rFonts w:cstheme="minorHAnsi"/>
        </w:rPr>
      </w:pPr>
      <w:r w:rsidRPr="009478FE">
        <w:rPr>
          <w:rFonts w:cstheme="minorHAnsi"/>
        </w:rPr>
        <w:t xml:space="preserve">M. </w:t>
      </w:r>
      <w:proofErr w:type="spellStart"/>
      <w:r w:rsidRPr="009478FE">
        <w:rPr>
          <w:rFonts w:cstheme="minorHAnsi"/>
        </w:rPr>
        <w:t>Monticelli</w:t>
      </w:r>
      <w:proofErr w:type="spellEnd"/>
      <w:r w:rsidRPr="009478FE">
        <w:rPr>
          <w:rFonts w:cstheme="minorHAnsi"/>
        </w:rPr>
        <w:t xml:space="preserve">, L. </w:t>
      </w:r>
      <w:proofErr w:type="spellStart"/>
      <w:r w:rsidRPr="009478FE">
        <w:rPr>
          <w:rFonts w:cstheme="minorHAnsi"/>
        </w:rPr>
        <w:t>Liguori</w:t>
      </w:r>
      <w:proofErr w:type="spellEnd"/>
      <w:r w:rsidRPr="009478FE">
        <w:rPr>
          <w:rFonts w:cstheme="minorHAnsi"/>
        </w:rPr>
        <w:t xml:space="preserve">, M. </w:t>
      </w:r>
      <w:proofErr w:type="spellStart"/>
      <w:r w:rsidRPr="009478FE">
        <w:rPr>
          <w:rFonts w:cstheme="minorHAnsi"/>
        </w:rPr>
        <w:t>Allocca</w:t>
      </w:r>
      <w:proofErr w:type="spellEnd"/>
      <w:r w:rsidRPr="009478FE">
        <w:rPr>
          <w:rFonts w:cstheme="minorHAnsi"/>
        </w:rPr>
        <w:t xml:space="preserve">, A. </w:t>
      </w:r>
      <w:proofErr w:type="spellStart"/>
      <w:r w:rsidRPr="009478FE">
        <w:rPr>
          <w:rFonts w:cstheme="minorHAnsi"/>
        </w:rPr>
        <w:t>Bosso</w:t>
      </w:r>
      <w:proofErr w:type="spellEnd"/>
      <w:r w:rsidRPr="009478FE">
        <w:rPr>
          <w:rFonts w:cstheme="minorHAnsi"/>
        </w:rPr>
        <w:t xml:space="preserve">, G. Andreotti, J. Lukas, M.C. Monti, E. </w:t>
      </w:r>
      <w:proofErr w:type="spellStart"/>
      <w:r w:rsidRPr="009478FE">
        <w:rPr>
          <w:rFonts w:cstheme="minorHAnsi"/>
        </w:rPr>
        <w:t>Morretta</w:t>
      </w:r>
      <w:proofErr w:type="spellEnd"/>
      <w:r w:rsidRPr="009478FE">
        <w:rPr>
          <w:rFonts w:cstheme="minorHAnsi"/>
        </w:rPr>
        <w:t xml:space="preserve">, M.V. </w:t>
      </w:r>
      <w:proofErr w:type="spellStart"/>
      <w:r w:rsidRPr="009478FE">
        <w:rPr>
          <w:rFonts w:cstheme="minorHAnsi"/>
        </w:rPr>
        <w:t>Cubellis</w:t>
      </w:r>
      <w:proofErr w:type="spellEnd"/>
      <w:r w:rsidRPr="009478FE">
        <w:rPr>
          <w:rFonts w:cstheme="minorHAnsi"/>
        </w:rPr>
        <w:t xml:space="preserve">, B. Hay </w:t>
      </w:r>
      <w:proofErr w:type="spellStart"/>
      <w:r w:rsidRPr="009478FE">
        <w:rPr>
          <w:rFonts w:cstheme="minorHAnsi"/>
        </w:rPr>
        <w:t>Mele</w:t>
      </w:r>
      <w:proofErr w:type="spellEnd"/>
      <w:r w:rsidRPr="009478FE">
        <w:rPr>
          <w:rFonts w:cstheme="minorHAnsi"/>
        </w:rPr>
        <w:t xml:space="preserve">, Drug Repositioning for </w:t>
      </w:r>
      <w:proofErr w:type="spellStart"/>
      <w:r w:rsidRPr="009478FE">
        <w:rPr>
          <w:rFonts w:cstheme="minorHAnsi"/>
        </w:rPr>
        <w:t>Fabry</w:t>
      </w:r>
      <w:proofErr w:type="spellEnd"/>
      <w:r w:rsidRPr="009478FE">
        <w:rPr>
          <w:rFonts w:cstheme="minorHAnsi"/>
        </w:rPr>
        <w:t xml:space="preserve"> Disease: Acetylsalicylic Acid Potentiates the Stabilization of L</w:t>
      </w:r>
      <w:bookmarkStart w:id="0" w:name="_GoBack"/>
      <w:bookmarkEnd w:id="0"/>
      <w:r w:rsidRPr="009478FE">
        <w:rPr>
          <w:rFonts w:cstheme="minorHAnsi"/>
        </w:rPr>
        <w:t xml:space="preserve">ysosomal Alpha-Galactosidase by Pharmacological Chaperones, </w:t>
      </w:r>
      <w:r w:rsidRPr="009478FE">
        <w:rPr>
          <w:rFonts w:cstheme="minorHAnsi"/>
        </w:rPr>
        <w:lastRenderedPageBreak/>
        <w:t>International Journal of Molecular Sciences 23 (2022) 5105. https://doi.org/10.3390/ijms23095105.</w:t>
      </w:r>
    </w:p>
    <w:p w14:paraId="1A3CAE72" w14:textId="24FD14C5" w:rsidR="00B03924" w:rsidRDefault="00B03924" w:rsidP="00B03924"/>
    <w:p w14:paraId="1C129CBD" w14:textId="3A2DA515" w:rsidR="00B03924" w:rsidRPr="00B03924" w:rsidRDefault="00B03924" w:rsidP="00B03924">
      <w:r w:rsidRPr="00B03924">
        <w:t xml:space="preserve">O. </w:t>
      </w:r>
      <w:proofErr w:type="spellStart"/>
      <w:r w:rsidRPr="00B03924">
        <w:t>Beckonert</w:t>
      </w:r>
      <w:proofErr w:type="spellEnd"/>
      <w:r w:rsidRPr="00B03924">
        <w:t xml:space="preserve">, H.C. </w:t>
      </w:r>
      <w:proofErr w:type="spellStart"/>
      <w:r w:rsidRPr="00B03924">
        <w:t>Keun</w:t>
      </w:r>
      <w:proofErr w:type="spellEnd"/>
      <w:r w:rsidRPr="00B03924">
        <w:t xml:space="preserve">, T.M.D. </w:t>
      </w:r>
      <w:proofErr w:type="spellStart"/>
      <w:r w:rsidRPr="00B03924">
        <w:t>Ebbels</w:t>
      </w:r>
      <w:proofErr w:type="spellEnd"/>
      <w:r w:rsidRPr="00B03924">
        <w:t xml:space="preserve">, J. Bundy, E. Holmes, J.C. Lindon, J.K. Nicholson, Metabolic profiling, </w:t>
      </w:r>
      <w:proofErr w:type="spellStart"/>
      <w:r w:rsidRPr="00B03924">
        <w:t>metabolomic</w:t>
      </w:r>
      <w:proofErr w:type="spellEnd"/>
      <w:r w:rsidRPr="00B03924">
        <w:t xml:space="preserve"> and </w:t>
      </w:r>
      <w:proofErr w:type="spellStart"/>
      <w:r w:rsidRPr="00B03924">
        <w:t>metabonomic</w:t>
      </w:r>
      <w:proofErr w:type="spellEnd"/>
      <w:r w:rsidRPr="00B03924">
        <w:t xml:space="preserve"> procedures for NMR spectroscopy of urine, plasma, serum and tissue extracts, Nat </w:t>
      </w:r>
      <w:proofErr w:type="spellStart"/>
      <w:r w:rsidRPr="00B03924">
        <w:t>Protoc</w:t>
      </w:r>
      <w:proofErr w:type="spellEnd"/>
      <w:r w:rsidRPr="00B03924">
        <w:t xml:space="preserve"> 2 (2007) 2692–2703. https://doi.org/10.1038/nprot.2007.376.</w:t>
      </w:r>
    </w:p>
    <w:p w14:paraId="7EC20B82" w14:textId="77777777" w:rsidR="00A425D5" w:rsidRDefault="00A425D5" w:rsidP="00F93B1A">
      <w:pPr>
        <w:pStyle w:val="Paragrafoelenco"/>
        <w:jc w:val="both"/>
      </w:pPr>
    </w:p>
    <w:p w14:paraId="528ECB7D" w14:textId="0846E2E1" w:rsidR="00BC3422" w:rsidRPr="00BC3422" w:rsidRDefault="00BC3422" w:rsidP="00F93B1A">
      <w:pPr>
        <w:pStyle w:val="Paragrafoelenco"/>
        <w:jc w:val="both"/>
      </w:pPr>
    </w:p>
    <w:sectPr w:rsidR="00BC3422" w:rsidRPr="00BC3422" w:rsidSect="00A1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D6DEF"/>
    <w:multiLevelType w:val="hybridMultilevel"/>
    <w:tmpl w:val="71123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7B"/>
    <w:rsid w:val="00002F67"/>
    <w:rsid w:val="00016FDC"/>
    <w:rsid w:val="00057113"/>
    <w:rsid w:val="000829E0"/>
    <w:rsid w:val="000B36F4"/>
    <w:rsid w:val="000C0B0C"/>
    <w:rsid w:val="001154E4"/>
    <w:rsid w:val="00143B57"/>
    <w:rsid w:val="00167730"/>
    <w:rsid w:val="001E0169"/>
    <w:rsid w:val="0027453E"/>
    <w:rsid w:val="00297D49"/>
    <w:rsid w:val="00323433"/>
    <w:rsid w:val="00375C40"/>
    <w:rsid w:val="003761AD"/>
    <w:rsid w:val="003F7904"/>
    <w:rsid w:val="004120BB"/>
    <w:rsid w:val="00451D34"/>
    <w:rsid w:val="004B2359"/>
    <w:rsid w:val="004B7438"/>
    <w:rsid w:val="004E5B0D"/>
    <w:rsid w:val="005000F1"/>
    <w:rsid w:val="0050185C"/>
    <w:rsid w:val="00506770"/>
    <w:rsid w:val="005541C3"/>
    <w:rsid w:val="00560A77"/>
    <w:rsid w:val="005657DF"/>
    <w:rsid w:val="005916F9"/>
    <w:rsid w:val="00594C08"/>
    <w:rsid w:val="005A6D43"/>
    <w:rsid w:val="005B665B"/>
    <w:rsid w:val="005D2C95"/>
    <w:rsid w:val="00610782"/>
    <w:rsid w:val="00626453"/>
    <w:rsid w:val="006422AA"/>
    <w:rsid w:val="006A27D8"/>
    <w:rsid w:val="006D3533"/>
    <w:rsid w:val="00714A7B"/>
    <w:rsid w:val="00717795"/>
    <w:rsid w:val="007243D6"/>
    <w:rsid w:val="0074787B"/>
    <w:rsid w:val="007C3CEA"/>
    <w:rsid w:val="0081235D"/>
    <w:rsid w:val="00833F1B"/>
    <w:rsid w:val="008464BA"/>
    <w:rsid w:val="009478FE"/>
    <w:rsid w:val="00964221"/>
    <w:rsid w:val="0096779D"/>
    <w:rsid w:val="00982945"/>
    <w:rsid w:val="009F71DE"/>
    <w:rsid w:val="00A138FC"/>
    <w:rsid w:val="00A425D5"/>
    <w:rsid w:val="00A57E41"/>
    <w:rsid w:val="00A87199"/>
    <w:rsid w:val="00A95900"/>
    <w:rsid w:val="00AA0A36"/>
    <w:rsid w:val="00AA23F5"/>
    <w:rsid w:val="00AA7703"/>
    <w:rsid w:val="00B03924"/>
    <w:rsid w:val="00B130B2"/>
    <w:rsid w:val="00B3373F"/>
    <w:rsid w:val="00B65764"/>
    <w:rsid w:val="00BA12F5"/>
    <w:rsid w:val="00BC3422"/>
    <w:rsid w:val="00BC6FB0"/>
    <w:rsid w:val="00BD2AD8"/>
    <w:rsid w:val="00C07E5C"/>
    <w:rsid w:val="00C16AB8"/>
    <w:rsid w:val="00C20213"/>
    <w:rsid w:val="00D857E6"/>
    <w:rsid w:val="00DA146C"/>
    <w:rsid w:val="00E20D08"/>
    <w:rsid w:val="00E2199A"/>
    <w:rsid w:val="00E27428"/>
    <w:rsid w:val="00E5398C"/>
    <w:rsid w:val="00E61416"/>
    <w:rsid w:val="00E93014"/>
    <w:rsid w:val="00F0724A"/>
    <w:rsid w:val="00F07F58"/>
    <w:rsid w:val="00F25BF9"/>
    <w:rsid w:val="00F72A7B"/>
    <w:rsid w:val="00F834C9"/>
    <w:rsid w:val="00F93B1A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539A"/>
  <w14:defaultImageDpi w14:val="32767"/>
  <w15:chartTrackingRefBased/>
  <w15:docId w15:val="{1CAA7840-0C52-6841-8ABF-6F275C5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787B"/>
    <w:pPr>
      <w:ind w:left="720"/>
      <w:contextualSpacing/>
    </w:pPr>
  </w:style>
  <w:style w:type="paragraph" w:styleId="Nessunaspaziatura">
    <w:name w:val="No Spacing"/>
    <w:uiPriority w:val="1"/>
    <w:qFormat/>
    <w:rsid w:val="00A95900"/>
  </w:style>
  <w:style w:type="paragraph" w:styleId="Bibliografia">
    <w:name w:val="Bibliography"/>
    <w:basedOn w:val="Normale"/>
    <w:next w:val="Normale"/>
    <w:uiPriority w:val="37"/>
    <w:semiHidden/>
    <w:unhideWhenUsed/>
    <w:rsid w:val="00A42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Goncalo Jorge Peres Cardoso Gouveia</dc:creator>
  <cp:keywords/>
  <dc:description/>
  <cp:lastModifiedBy>Debora</cp:lastModifiedBy>
  <cp:revision>13</cp:revision>
  <dcterms:created xsi:type="dcterms:W3CDTF">2018-12-14T18:22:00Z</dcterms:created>
  <dcterms:modified xsi:type="dcterms:W3CDTF">2025-01-03T14:13:00Z</dcterms:modified>
</cp:coreProperties>
</file>